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01" w:rsidRPr="00F627EC" w:rsidRDefault="00362091" w:rsidP="00362091">
      <w:pPr>
        <w:spacing w:after="0"/>
        <w:jc w:val="center"/>
        <w:rPr>
          <w:b/>
        </w:rPr>
      </w:pPr>
      <w:r>
        <w:rPr>
          <w:b/>
        </w:rPr>
        <w:t xml:space="preserve">PPG - </w:t>
      </w:r>
      <w:r w:rsidR="00672501" w:rsidRPr="00F627EC">
        <w:rPr>
          <w:b/>
        </w:rPr>
        <w:t>P</w:t>
      </w:r>
      <w:r>
        <w:rPr>
          <w:b/>
        </w:rPr>
        <w:t xml:space="preserve">atient </w:t>
      </w:r>
      <w:r w:rsidR="00672501" w:rsidRPr="00F627EC">
        <w:rPr>
          <w:b/>
        </w:rPr>
        <w:t>P</w:t>
      </w:r>
      <w:r>
        <w:rPr>
          <w:b/>
        </w:rPr>
        <w:t xml:space="preserve">articipation </w:t>
      </w:r>
      <w:r w:rsidR="00672501" w:rsidRPr="00F627EC">
        <w:rPr>
          <w:b/>
        </w:rPr>
        <w:t>G</w:t>
      </w:r>
      <w:r>
        <w:rPr>
          <w:b/>
        </w:rPr>
        <w:t>roup</w:t>
      </w:r>
      <w:r w:rsidR="00672501" w:rsidRPr="00F627EC">
        <w:rPr>
          <w:b/>
        </w:rPr>
        <w:t xml:space="preserve"> Meeting</w:t>
      </w:r>
    </w:p>
    <w:p w:rsidR="009709EE" w:rsidRDefault="00EE3E41" w:rsidP="00362091">
      <w:pPr>
        <w:spacing w:after="0"/>
        <w:jc w:val="center"/>
      </w:pPr>
      <w:r>
        <w:t>Fri</w:t>
      </w:r>
      <w:r w:rsidR="00672501">
        <w:t xml:space="preserve">day </w:t>
      </w:r>
      <w:r w:rsidR="00224495">
        <w:t>15</w:t>
      </w:r>
      <w:r w:rsidR="000D7780" w:rsidRPr="000D7780">
        <w:rPr>
          <w:vertAlign w:val="superscript"/>
        </w:rPr>
        <w:t>th</w:t>
      </w:r>
      <w:r w:rsidR="000D7780">
        <w:t xml:space="preserve"> </w:t>
      </w:r>
      <w:r w:rsidR="00224495">
        <w:t>September</w:t>
      </w:r>
      <w:r w:rsidR="000D7780">
        <w:t xml:space="preserve"> 2017</w:t>
      </w:r>
      <w:r w:rsidR="007121B9">
        <w:t xml:space="preserve"> - </w:t>
      </w:r>
      <w:r>
        <w:t>1</w:t>
      </w:r>
      <w:r w:rsidR="009709EE">
        <w:t>.00pm</w:t>
      </w:r>
    </w:p>
    <w:p w:rsidR="00672501" w:rsidRDefault="00630428" w:rsidP="00362091">
      <w:pPr>
        <w:spacing w:after="0"/>
        <w:jc w:val="both"/>
        <w:rPr>
          <w:b/>
        </w:rPr>
      </w:pPr>
      <w:r>
        <w:rPr>
          <w:b/>
        </w:rPr>
        <w:t>Parties</w:t>
      </w:r>
      <w:r w:rsidR="00F627EC">
        <w:rPr>
          <w:b/>
        </w:rPr>
        <w:t xml:space="preserve"> </w:t>
      </w:r>
      <w:r w:rsidR="00672501" w:rsidRPr="00672501">
        <w:rPr>
          <w:b/>
        </w:rPr>
        <w:t>Present</w:t>
      </w:r>
    </w:p>
    <w:p w:rsidR="002D01E7" w:rsidRPr="002D01E7" w:rsidRDefault="00630428" w:rsidP="002D01E7">
      <w:pPr>
        <w:spacing w:after="0"/>
        <w:jc w:val="both"/>
      </w:pPr>
      <w:r>
        <w:t>Facilitator</w:t>
      </w:r>
      <w:r w:rsidR="00E22AED">
        <w:t>:</w:t>
      </w:r>
      <w:r>
        <w:t xml:space="preserve"> </w:t>
      </w:r>
      <w:r w:rsidR="00EE3E41">
        <w:t>René Mehta (RM)</w:t>
      </w:r>
      <w:r w:rsidR="004F614A">
        <w:t xml:space="preserve"> – Practice Manager</w:t>
      </w:r>
      <w:r w:rsidR="001C205B">
        <w:t xml:space="preserve">, </w:t>
      </w:r>
      <w:r w:rsidR="00224495">
        <w:t>Gavin Steele</w:t>
      </w:r>
      <w:r w:rsidR="00BA7958">
        <w:t xml:space="preserve"> (GS) - </w:t>
      </w:r>
      <w:r w:rsidR="00224495">
        <w:t>GP Partner</w:t>
      </w:r>
      <w:r w:rsidR="00C25263">
        <w:t xml:space="preserve">, Rebecca Davies </w:t>
      </w:r>
      <w:r w:rsidR="00BA7958">
        <w:t>(RD) - Clinical Research Network</w:t>
      </w:r>
    </w:p>
    <w:p w:rsidR="00630428" w:rsidRPr="00672501" w:rsidRDefault="002D01E7" w:rsidP="00362091">
      <w:pPr>
        <w:spacing w:after="0"/>
        <w:jc w:val="both"/>
        <w:rPr>
          <w:b/>
        </w:rPr>
      </w:pPr>
      <w:r>
        <w:rPr>
          <w:b/>
        </w:rPr>
        <w:t xml:space="preserve">Patient </w:t>
      </w:r>
      <w:r w:rsidR="00630428">
        <w:rPr>
          <w:b/>
        </w:rPr>
        <w:t>Members</w:t>
      </w:r>
    </w:p>
    <w:p w:rsidR="00630428" w:rsidRPr="006213F1" w:rsidRDefault="00630428" w:rsidP="00362091">
      <w:pPr>
        <w:spacing w:after="0"/>
        <w:jc w:val="both"/>
        <w:rPr>
          <w:highlight w:val="yellow"/>
        </w:rPr>
      </w:pPr>
      <w:r w:rsidRPr="000D7780">
        <w:t>Richard Lee</w:t>
      </w:r>
      <w:r w:rsidR="00EE3E41" w:rsidRPr="000D7780">
        <w:t xml:space="preserve"> (RL), </w:t>
      </w:r>
      <w:r w:rsidR="001A1737" w:rsidRPr="000D7780">
        <w:t>Bernar</w:t>
      </w:r>
      <w:r w:rsidR="0078043A">
        <w:t xml:space="preserve">d Bain (BB), Peter Wright (PW), </w:t>
      </w:r>
    </w:p>
    <w:p w:rsidR="002D01E7" w:rsidRPr="006213F1" w:rsidRDefault="002D01E7" w:rsidP="00362091">
      <w:pPr>
        <w:spacing w:after="0"/>
        <w:jc w:val="both"/>
        <w:rPr>
          <w:b/>
          <w:sz w:val="12"/>
          <w:szCs w:val="12"/>
          <w:highlight w:val="yellow"/>
        </w:rPr>
      </w:pPr>
    </w:p>
    <w:p w:rsidR="009709EE" w:rsidRPr="0078043A" w:rsidRDefault="00EE3E41" w:rsidP="00362091">
      <w:pPr>
        <w:spacing w:after="0"/>
        <w:jc w:val="both"/>
        <w:rPr>
          <w:b/>
        </w:rPr>
      </w:pPr>
      <w:r w:rsidRPr="0078043A">
        <w:rPr>
          <w:b/>
        </w:rPr>
        <w:t>Apologies</w:t>
      </w:r>
    </w:p>
    <w:p w:rsidR="00EE3E41" w:rsidRPr="0078043A" w:rsidRDefault="000D7780" w:rsidP="00362091">
      <w:pPr>
        <w:spacing w:after="0"/>
        <w:jc w:val="both"/>
      </w:pPr>
      <w:r w:rsidRPr="0078043A">
        <w:t xml:space="preserve">Joanne </w:t>
      </w:r>
      <w:proofErr w:type="spellStart"/>
      <w:r w:rsidRPr="0078043A">
        <w:t>Darwish</w:t>
      </w:r>
      <w:proofErr w:type="spellEnd"/>
      <w:r w:rsidR="001A1737" w:rsidRPr="0078043A">
        <w:t>,</w:t>
      </w:r>
      <w:r w:rsidR="00EE3E41" w:rsidRPr="0078043A">
        <w:t xml:space="preserve"> </w:t>
      </w:r>
      <w:r w:rsidR="00BD7117" w:rsidRPr="0078043A">
        <w:t>Nicola Salmon</w:t>
      </w:r>
      <w:r w:rsidR="00D44717" w:rsidRPr="0078043A">
        <w:t xml:space="preserve">, </w:t>
      </w:r>
      <w:r w:rsidR="00BD7117" w:rsidRPr="0078043A">
        <w:t xml:space="preserve">Kevin </w:t>
      </w:r>
      <w:proofErr w:type="spellStart"/>
      <w:r w:rsidR="00BD7117" w:rsidRPr="0078043A">
        <w:t>Kerwick</w:t>
      </w:r>
      <w:proofErr w:type="spellEnd"/>
      <w:r w:rsidR="004F614A" w:rsidRPr="0078043A">
        <w:t xml:space="preserve">, </w:t>
      </w:r>
      <w:r w:rsidR="0078043A" w:rsidRPr="0078043A">
        <w:t xml:space="preserve">Michael Brady, </w:t>
      </w:r>
      <w:r w:rsidR="000E0206">
        <w:t>Diesel Roberts</w:t>
      </w:r>
      <w:r w:rsidR="0078043A" w:rsidRPr="0078043A">
        <w:t>,</w:t>
      </w:r>
      <w:r w:rsidR="000E0206">
        <w:t xml:space="preserve"> </w:t>
      </w:r>
      <w:r w:rsidR="0078043A" w:rsidRPr="0078043A">
        <w:t>John Holt, Patrick</w:t>
      </w:r>
      <w:r w:rsidR="000E0206">
        <w:t xml:space="preserve"> </w:t>
      </w:r>
      <w:proofErr w:type="spellStart"/>
      <w:r w:rsidR="000E0206">
        <w:t>Ironwuba</w:t>
      </w:r>
      <w:proofErr w:type="spellEnd"/>
      <w:r w:rsidR="00224495">
        <w:t>,</w:t>
      </w:r>
      <w:r w:rsidR="00224495" w:rsidRPr="00224495">
        <w:t xml:space="preserve"> </w:t>
      </w:r>
      <w:r w:rsidR="00224495" w:rsidRPr="0078043A">
        <w:t>Gina Michel (GM),</w:t>
      </w:r>
      <w:r w:rsidR="00224495">
        <w:t xml:space="preserve"> Sharon </w:t>
      </w:r>
      <w:proofErr w:type="spellStart"/>
      <w:r w:rsidR="00224495">
        <w:t>Castello</w:t>
      </w:r>
      <w:proofErr w:type="spellEnd"/>
      <w:r w:rsidR="00224495">
        <w:t xml:space="preserve"> (SC – Reception Manager)</w:t>
      </w:r>
      <w:r w:rsidR="00224495" w:rsidRPr="00224495">
        <w:t xml:space="preserve"> </w:t>
      </w:r>
    </w:p>
    <w:p w:rsidR="009709EE" w:rsidRPr="006213F1" w:rsidRDefault="009709EE" w:rsidP="00362091">
      <w:pPr>
        <w:spacing w:after="0"/>
        <w:jc w:val="both"/>
        <w:rPr>
          <w:sz w:val="12"/>
          <w:szCs w:val="12"/>
          <w:highlight w:val="yellow"/>
        </w:rPr>
      </w:pPr>
    </w:p>
    <w:p w:rsidR="009709EE" w:rsidRPr="000E0206" w:rsidRDefault="00792FC4" w:rsidP="00362091">
      <w:pPr>
        <w:spacing w:after="0"/>
        <w:jc w:val="both"/>
        <w:rPr>
          <w:b/>
        </w:rPr>
      </w:pPr>
      <w:r w:rsidRPr="000E0206">
        <w:rPr>
          <w:b/>
        </w:rPr>
        <w:t xml:space="preserve">2 </w:t>
      </w:r>
      <w:r w:rsidR="00EE3E41" w:rsidRPr="000E0206">
        <w:rPr>
          <w:b/>
        </w:rPr>
        <w:t>Actions</w:t>
      </w:r>
      <w:r w:rsidR="00BC51B2" w:rsidRPr="000E0206">
        <w:rPr>
          <w:b/>
        </w:rPr>
        <w:t xml:space="preserve"> and Matters Arising</w:t>
      </w:r>
      <w:r w:rsidR="00EE3E41" w:rsidRPr="000E0206">
        <w:rPr>
          <w:b/>
        </w:rPr>
        <w:t xml:space="preserve"> from last meeting</w:t>
      </w:r>
    </w:p>
    <w:p w:rsidR="001F7797" w:rsidRDefault="00C25263" w:rsidP="00362091">
      <w:pPr>
        <w:spacing w:after="0"/>
        <w:jc w:val="both"/>
      </w:pPr>
      <w:r>
        <w:t>09062017-1 – RM and PW have not been able to meet yet to review Terms of Reference. RL asked that feedback on the terms be added into the revised version</w:t>
      </w:r>
    </w:p>
    <w:p w:rsidR="00BA7958" w:rsidRDefault="00BA7958" w:rsidP="00362091">
      <w:pPr>
        <w:spacing w:after="0"/>
        <w:jc w:val="both"/>
      </w:pPr>
      <w:r>
        <w:t>09062017-3 – Review Feedback on Nurses in latest GP Patient Survey – this is an agenda item below</w:t>
      </w:r>
    </w:p>
    <w:p w:rsidR="00BA7958" w:rsidRDefault="00BA7958" w:rsidP="00362091">
      <w:pPr>
        <w:spacing w:after="0"/>
        <w:jc w:val="both"/>
      </w:pPr>
      <w:r>
        <w:t>09062017-4 – Feedback on new telephony system – to be discussed at next meeting</w:t>
      </w:r>
    </w:p>
    <w:p w:rsidR="00BA7958" w:rsidRDefault="00BA7958" w:rsidP="00362091">
      <w:pPr>
        <w:spacing w:after="0"/>
        <w:jc w:val="both"/>
      </w:pPr>
      <w:r>
        <w:t xml:space="preserve">09062017-5 – Review “Unlikely/Extremely unlikely” FFT comments - </w:t>
      </w:r>
      <w:r w:rsidRPr="00BA7958">
        <w:t>this is an agenda item below</w:t>
      </w:r>
    </w:p>
    <w:p w:rsidR="00017CCC" w:rsidRDefault="00017CCC" w:rsidP="00017CCC">
      <w:pPr>
        <w:pStyle w:val="ListParagraph"/>
        <w:numPr>
          <w:ilvl w:val="0"/>
          <w:numId w:val="8"/>
        </w:numPr>
        <w:spacing w:after="0"/>
        <w:jc w:val="both"/>
      </w:pPr>
      <w:r>
        <w:t>RL noted that Healthwatch had very low response rate from East Street patients regarding their recent survey of access to appointments. RM noted that practices have not received any feedback as yet from Healthwatch on the survey but that East Street had displayed posters in waiting areas advertising the survey.</w:t>
      </w:r>
    </w:p>
    <w:p w:rsidR="005C4C91" w:rsidRDefault="005C4C91" w:rsidP="00017CCC">
      <w:pPr>
        <w:pStyle w:val="ListParagraph"/>
        <w:numPr>
          <w:ilvl w:val="0"/>
          <w:numId w:val="8"/>
        </w:numPr>
        <w:spacing w:after="0"/>
        <w:jc w:val="both"/>
      </w:pPr>
      <w:r>
        <w:t>RM noted that the practice has purchased water dispensers for patients/staff to use</w:t>
      </w:r>
    </w:p>
    <w:p w:rsidR="00017CCC" w:rsidRDefault="00017CCC" w:rsidP="00017CCC">
      <w:pPr>
        <w:pStyle w:val="ListParagraph"/>
        <w:numPr>
          <w:ilvl w:val="0"/>
          <w:numId w:val="8"/>
        </w:numPr>
        <w:spacing w:after="0"/>
        <w:jc w:val="both"/>
      </w:pPr>
      <w:r>
        <w:t xml:space="preserve">RM noted that sadly Mr David Clark, who had attended the last PPG meeting as a new member, had sadly passed away recently. Mr Clark had been very vocal in his support of the practice, which he had recently </w:t>
      </w:r>
      <w:proofErr w:type="gramStart"/>
      <w:r>
        <w:t>joined,</w:t>
      </w:r>
      <w:proofErr w:type="gramEnd"/>
      <w:r>
        <w:t xml:space="preserve"> in particular he was very impressed with the access to appointments. Mr Clark will be missed by all who knew him and our sincere condolences go out to his family at this time.</w:t>
      </w:r>
    </w:p>
    <w:p w:rsidR="00E22AED" w:rsidRPr="006213F1" w:rsidRDefault="00E22AED" w:rsidP="00362091">
      <w:pPr>
        <w:spacing w:after="0"/>
        <w:jc w:val="both"/>
        <w:rPr>
          <w:sz w:val="12"/>
          <w:szCs w:val="12"/>
          <w:highlight w:val="yellow"/>
        </w:rPr>
      </w:pPr>
    </w:p>
    <w:p w:rsidR="00435CD0" w:rsidRPr="000E0206" w:rsidRDefault="00792FC4" w:rsidP="00435CD0">
      <w:pPr>
        <w:spacing w:after="0"/>
        <w:jc w:val="both"/>
      </w:pPr>
      <w:r w:rsidRPr="000E0206">
        <w:rPr>
          <w:b/>
        </w:rPr>
        <w:t xml:space="preserve">3 </w:t>
      </w:r>
      <w:r w:rsidR="00BA7958">
        <w:rPr>
          <w:b/>
        </w:rPr>
        <w:t>Clinical Research Network</w:t>
      </w:r>
    </w:p>
    <w:p w:rsidR="007D5F2F" w:rsidRDefault="00BA7958" w:rsidP="00435CD0">
      <w:pPr>
        <w:spacing w:after="0"/>
        <w:jc w:val="both"/>
      </w:pPr>
      <w:r>
        <w:t xml:space="preserve">RD thanked the group for allowing her to speak at the meeting. </w:t>
      </w:r>
      <w:r w:rsidR="00017CCC">
        <w:t>East Street Surgery is part of the Clinical Research Network (CRN). The CRN spans England and is divided into 15 areas. RD work for the South London division. The CRN is funded by the Department of Health and is the research part of the NHS.</w:t>
      </w:r>
      <w:r w:rsidR="001F3124">
        <w:t xml:space="preserve"> The CRN is not responsible for designing or interpreting research studies but assists with the practical and administrative aspects. The CRN summarises studies and sends the details onto practices who can decide if they wish to participate in those particular studies. Practices are paid a nominal sum for assisting in medical studies. Oftentimes the studies are more concerned with lifestyle changes than altering patients’ medication or testing new drugs. The CRN has spent some time visiting practices and speaking with patients in waiting rooms to inform them of the work that they do. Further information can be found on the UK Clinical Trials Gateway - </w:t>
      </w:r>
      <w:hyperlink r:id="rId9" w:history="1">
        <w:r w:rsidR="001F3124" w:rsidRPr="005655AD">
          <w:rPr>
            <w:rStyle w:val="Hyperlink"/>
          </w:rPr>
          <w:t>https://www.ukctg.nihr.ac.uk/</w:t>
        </w:r>
      </w:hyperlink>
      <w:r w:rsidR="001F3124">
        <w:t xml:space="preserve"> </w:t>
      </w:r>
    </w:p>
    <w:p w:rsidR="00BA7958" w:rsidRDefault="00BA7958" w:rsidP="00435CD0">
      <w:pPr>
        <w:spacing w:after="0"/>
        <w:jc w:val="both"/>
      </w:pPr>
    </w:p>
    <w:p w:rsidR="007D5F2F" w:rsidRPr="007D5F2F" w:rsidRDefault="007D5F2F" w:rsidP="00435CD0">
      <w:pPr>
        <w:spacing w:after="0"/>
        <w:jc w:val="both"/>
        <w:rPr>
          <w:b/>
        </w:rPr>
      </w:pPr>
      <w:r w:rsidRPr="007D5F2F">
        <w:rPr>
          <w:b/>
        </w:rPr>
        <w:t xml:space="preserve">4 </w:t>
      </w:r>
      <w:r w:rsidR="001F3124">
        <w:rPr>
          <w:b/>
        </w:rPr>
        <w:t>Premises</w:t>
      </w:r>
    </w:p>
    <w:p w:rsidR="007D5F2F" w:rsidRDefault="001F3124" w:rsidP="00435CD0">
      <w:pPr>
        <w:spacing w:after="0"/>
        <w:jc w:val="both"/>
      </w:pPr>
      <w:r>
        <w:t>RL noted that he did not attend the recent locality PPG specifically as Premises was not an agenda item.</w:t>
      </w:r>
      <w:r w:rsidR="00BF29BE">
        <w:t xml:space="preserve"> RM agreed that the CCGs response to his email in July and the several reminders that he sent </w:t>
      </w:r>
      <w:r w:rsidR="00F20BA3">
        <w:t xml:space="preserve">thereafter seeking a reply </w:t>
      </w:r>
      <w:r w:rsidR="00BF29BE">
        <w:t xml:space="preserve">was very disappointing. The CCG </w:t>
      </w:r>
      <w:r w:rsidR="00F20BA3">
        <w:t xml:space="preserve">has </w:t>
      </w:r>
      <w:r w:rsidR="00BF29BE">
        <w:t xml:space="preserve">noted that they are </w:t>
      </w:r>
      <w:r w:rsidR="00F20BA3">
        <w:t>“</w:t>
      </w:r>
      <w:r w:rsidR="00BF29BE">
        <w:t>currently discussing how to engage with patients on GP premises and their strategy.</w:t>
      </w:r>
      <w:r w:rsidR="00F20BA3">
        <w:t>”</w:t>
      </w:r>
    </w:p>
    <w:p w:rsidR="00F20BA3" w:rsidRDefault="00F20BA3" w:rsidP="00435CD0">
      <w:pPr>
        <w:spacing w:after="0"/>
        <w:jc w:val="both"/>
      </w:pPr>
      <w:r>
        <w:t xml:space="preserve">RM noted that all the practices in Folkestone have closed their lists to new patient registrations simply because they can no longer cope with the needs of their currently registered patients. The British Medical Association (BMA) carried out a survey of nearly 2000 practices recently and 54% would consider temporarily suspending new patient registration to maintain existing patient safety. </w:t>
      </w:r>
    </w:p>
    <w:p w:rsidR="00F20BA3" w:rsidRPr="000E0206" w:rsidRDefault="00F20BA3" w:rsidP="00435CD0">
      <w:pPr>
        <w:spacing w:after="0"/>
        <w:jc w:val="both"/>
      </w:pPr>
      <w:r>
        <w:lastRenderedPageBreak/>
        <w:t xml:space="preserve">RL noted that it would be useful if the practice could produce a short statement of their vision for the </w:t>
      </w:r>
      <w:r w:rsidR="0042310A">
        <w:t>future so that when he or others attend external meetings they can be speaking from a position that is in alignment with the practice.</w:t>
      </w:r>
    </w:p>
    <w:p w:rsidR="001F7797" w:rsidRPr="006213F1" w:rsidRDefault="001F7797" w:rsidP="00435CD0">
      <w:pPr>
        <w:spacing w:after="0"/>
        <w:jc w:val="both"/>
        <w:rPr>
          <w:sz w:val="12"/>
          <w:szCs w:val="12"/>
          <w:highlight w:val="yellow"/>
        </w:rPr>
      </w:pPr>
    </w:p>
    <w:p w:rsidR="007D5F2F" w:rsidRDefault="007D5F2F" w:rsidP="00435CD0">
      <w:pPr>
        <w:spacing w:after="0"/>
        <w:jc w:val="both"/>
        <w:rPr>
          <w:b/>
          <w:highlight w:val="yellow"/>
        </w:rPr>
      </w:pPr>
    </w:p>
    <w:p w:rsidR="007D5F2F" w:rsidRPr="007D5F2F" w:rsidRDefault="007D5F2F" w:rsidP="00435CD0">
      <w:pPr>
        <w:spacing w:after="0"/>
        <w:jc w:val="both"/>
        <w:rPr>
          <w:b/>
        </w:rPr>
      </w:pPr>
      <w:r w:rsidRPr="007D5F2F">
        <w:rPr>
          <w:b/>
        </w:rPr>
        <w:t>5 N</w:t>
      </w:r>
      <w:r w:rsidR="00CB6B2D">
        <w:rPr>
          <w:b/>
        </w:rPr>
        <w:t xml:space="preserve">ational Patient </w:t>
      </w:r>
      <w:proofErr w:type="gramStart"/>
      <w:r w:rsidR="00CB6B2D">
        <w:rPr>
          <w:b/>
        </w:rPr>
        <w:t>Survey</w:t>
      </w:r>
      <w:proofErr w:type="gramEnd"/>
    </w:p>
    <w:p w:rsidR="007D5F2F" w:rsidRDefault="00CB6B2D" w:rsidP="00435CD0">
      <w:pPr>
        <w:spacing w:after="0"/>
        <w:jc w:val="both"/>
      </w:pPr>
      <w:r w:rsidRPr="00CB6B2D">
        <w:t>It had been agreed</w:t>
      </w:r>
      <w:r>
        <w:t xml:space="preserve"> at the last meeting that the PPG would review the feedback from the National Patient </w:t>
      </w:r>
      <w:r w:rsidR="00F91BD5">
        <w:t>Survey especially that</w:t>
      </w:r>
      <w:r>
        <w:t xml:space="preserve"> concerning the practice nurses (which had been noted during last year’s CQC inspection).</w:t>
      </w:r>
    </w:p>
    <w:p w:rsidR="00F91BD5" w:rsidRDefault="00F91BD5" w:rsidP="00435CD0">
      <w:pPr>
        <w:spacing w:after="0"/>
        <w:jc w:val="both"/>
      </w:pPr>
      <w:r>
        <w:t xml:space="preserve">RM presented a written paper </w:t>
      </w:r>
      <w:r w:rsidR="00567221">
        <w:t>of the results from the latest survey (2017). Due to time constraints RM simply noted that the questions relating to nurses at the practice had shown a significant improvement in the 2017 survey compared to the previous year. The examples are noted below with the 2016 results in brackets:</w:t>
      </w:r>
    </w:p>
    <w:p w:rsidR="00567221" w:rsidRPr="00567221" w:rsidRDefault="00567221" w:rsidP="00567221">
      <w:pPr>
        <w:numPr>
          <w:ilvl w:val="0"/>
          <w:numId w:val="9"/>
        </w:numPr>
        <w:spacing w:after="0"/>
        <w:jc w:val="both"/>
      </w:pPr>
      <w:r w:rsidRPr="00567221">
        <w:t>89% (66%) say the last nurse they saw or spoke to was good at giving them enough time</w:t>
      </w:r>
    </w:p>
    <w:p w:rsidR="00567221" w:rsidRPr="00567221" w:rsidRDefault="00567221" w:rsidP="00567221">
      <w:pPr>
        <w:spacing w:after="0"/>
        <w:ind w:left="720"/>
        <w:jc w:val="both"/>
      </w:pPr>
      <w:r>
        <w:t>Local</w:t>
      </w:r>
      <w:r w:rsidRPr="00567221">
        <w:t xml:space="preserve"> average: 87%</w:t>
      </w:r>
      <w:r w:rsidRPr="00567221">
        <w:tab/>
        <w:t>National average: 92%</w:t>
      </w:r>
    </w:p>
    <w:p w:rsidR="00567221" w:rsidRPr="00567221" w:rsidRDefault="00567221" w:rsidP="00567221">
      <w:pPr>
        <w:numPr>
          <w:ilvl w:val="0"/>
          <w:numId w:val="9"/>
        </w:numPr>
        <w:spacing w:after="0"/>
        <w:jc w:val="both"/>
      </w:pPr>
      <w:r w:rsidRPr="00567221">
        <w:t>86% (66%) say the last nurse they saw or spoke to was good at listening to them</w:t>
      </w:r>
    </w:p>
    <w:p w:rsidR="00567221" w:rsidRPr="00567221" w:rsidRDefault="00567221" w:rsidP="00567221">
      <w:pPr>
        <w:spacing w:after="0"/>
        <w:ind w:left="720"/>
        <w:jc w:val="both"/>
      </w:pPr>
      <w:r w:rsidRPr="00567221">
        <w:t>Local average: 85%</w:t>
      </w:r>
      <w:r w:rsidRPr="00567221">
        <w:tab/>
        <w:t>National average: 91%</w:t>
      </w:r>
    </w:p>
    <w:p w:rsidR="00567221" w:rsidRPr="00567221" w:rsidRDefault="00567221" w:rsidP="00567221">
      <w:pPr>
        <w:numPr>
          <w:ilvl w:val="0"/>
          <w:numId w:val="9"/>
        </w:numPr>
        <w:spacing w:after="0"/>
        <w:jc w:val="both"/>
      </w:pPr>
      <w:r w:rsidRPr="00567221">
        <w:t>84% (64%) say the last nurse they saw or spoke to was good at explaining tests and treatments</w:t>
      </w:r>
    </w:p>
    <w:p w:rsidR="00567221" w:rsidRPr="00567221" w:rsidRDefault="00567221" w:rsidP="00567221">
      <w:pPr>
        <w:spacing w:after="0"/>
        <w:ind w:left="720"/>
        <w:jc w:val="both"/>
      </w:pPr>
      <w:r w:rsidRPr="00567221">
        <w:t>Local average: 84%</w:t>
      </w:r>
      <w:r w:rsidRPr="00567221">
        <w:tab/>
        <w:t>National average: 90%</w:t>
      </w:r>
    </w:p>
    <w:p w:rsidR="00567221" w:rsidRPr="00567221" w:rsidRDefault="00567221" w:rsidP="00567221">
      <w:pPr>
        <w:numPr>
          <w:ilvl w:val="0"/>
          <w:numId w:val="9"/>
        </w:numPr>
        <w:spacing w:after="0"/>
        <w:jc w:val="both"/>
      </w:pPr>
      <w:r w:rsidRPr="00567221">
        <w:t>81% (62%) say the last nurse they saw or spoke to was good at involving them in decisions about their care</w:t>
      </w:r>
    </w:p>
    <w:p w:rsidR="00567221" w:rsidRPr="00567221" w:rsidRDefault="00567221" w:rsidP="00567221">
      <w:pPr>
        <w:spacing w:after="0"/>
        <w:ind w:left="720"/>
        <w:jc w:val="both"/>
      </w:pPr>
      <w:r w:rsidRPr="00567221">
        <w:t>Local average: 79%</w:t>
      </w:r>
      <w:r w:rsidRPr="00567221">
        <w:tab/>
        <w:t>National average: 85%</w:t>
      </w:r>
    </w:p>
    <w:p w:rsidR="00567221" w:rsidRPr="00567221" w:rsidRDefault="00567221" w:rsidP="00567221">
      <w:pPr>
        <w:numPr>
          <w:ilvl w:val="0"/>
          <w:numId w:val="9"/>
        </w:numPr>
        <w:spacing w:after="0"/>
        <w:jc w:val="both"/>
      </w:pPr>
      <w:r w:rsidRPr="00567221">
        <w:t>85% (67%) say the last nurse they saw or spoke to was good at treating them with care and concern</w:t>
      </w:r>
    </w:p>
    <w:p w:rsidR="00567221" w:rsidRPr="00567221" w:rsidRDefault="00567221" w:rsidP="00567221">
      <w:pPr>
        <w:spacing w:after="0"/>
        <w:ind w:left="720"/>
        <w:jc w:val="both"/>
      </w:pPr>
      <w:r w:rsidRPr="00567221">
        <w:t>Local average: 85%</w:t>
      </w:r>
      <w:r w:rsidRPr="00567221">
        <w:tab/>
        <w:t>National average: 91%</w:t>
      </w:r>
    </w:p>
    <w:p w:rsidR="00567221" w:rsidRPr="00CB6B2D" w:rsidRDefault="00567221" w:rsidP="00435CD0">
      <w:pPr>
        <w:spacing w:after="0"/>
        <w:jc w:val="both"/>
      </w:pPr>
      <w:r>
        <w:t>It was agreed that the group could look at these results in more detail at the next meeting.</w:t>
      </w:r>
    </w:p>
    <w:p w:rsidR="00CB6B2D" w:rsidRDefault="00CB6B2D" w:rsidP="00435CD0">
      <w:pPr>
        <w:spacing w:after="0"/>
        <w:jc w:val="both"/>
        <w:rPr>
          <w:b/>
        </w:rPr>
      </w:pPr>
    </w:p>
    <w:p w:rsidR="00435CD0" w:rsidRPr="00904EE2" w:rsidRDefault="00904EE2" w:rsidP="00435CD0">
      <w:pPr>
        <w:spacing w:after="0"/>
        <w:jc w:val="both"/>
      </w:pPr>
      <w:r w:rsidRPr="00904EE2">
        <w:rPr>
          <w:b/>
        </w:rPr>
        <w:t>6</w:t>
      </w:r>
      <w:r w:rsidR="00435CD0" w:rsidRPr="00904EE2">
        <w:t xml:space="preserve"> </w:t>
      </w:r>
      <w:r w:rsidR="001F7797" w:rsidRPr="00904EE2">
        <w:rPr>
          <w:b/>
        </w:rPr>
        <w:t xml:space="preserve">Patient </w:t>
      </w:r>
      <w:proofErr w:type="gramStart"/>
      <w:r w:rsidR="001F7797" w:rsidRPr="00904EE2">
        <w:rPr>
          <w:b/>
        </w:rPr>
        <w:t>Engagement</w:t>
      </w:r>
      <w:proofErr w:type="gramEnd"/>
      <w:r w:rsidR="001F7797" w:rsidRPr="00904EE2">
        <w:rPr>
          <w:b/>
        </w:rPr>
        <w:t xml:space="preserve"> / NAPP / FFT</w:t>
      </w:r>
      <w:r w:rsidR="00BC12F4" w:rsidRPr="00904EE2">
        <w:rPr>
          <w:b/>
        </w:rPr>
        <w:t xml:space="preserve"> (Friends &amp; Family Test)</w:t>
      </w:r>
    </w:p>
    <w:p w:rsidR="00A97C34" w:rsidRDefault="00567221" w:rsidP="00A97C34">
      <w:pPr>
        <w:spacing w:after="0"/>
        <w:jc w:val="both"/>
        <w:rPr>
          <w:lang w:val="en-US"/>
        </w:rPr>
      </w:pPr>
      <w:r>
        <w:rPr>
          <w:lang w:val="en-US"/>
        </w:rPr>
        <w:t>Again due to time constraints this item could not be discussed but RM had given attendees a short paper on the recent results of the July and August 2017 FFT results.</w:t>
      </w:r>
    </w:p>
    <w:p w:rsidR="00567221" w:rsidRPr="00904EE2" w:rsidRDefault="00567221" w:rsidP="00A97C34">
      <w:pPr>
        <w:spacing w:after="0"/>
        <w:jc w:val="both"/>
        <w:rPr>
          <w:lang w:val="en-US"/>
        </w:rPr>
      </w:pPr>
      <w:r>
        <w:rPr>
          <w:lang w:val="en-US"/>
        </w:rPr>
        <w:t xml:space="preserve">It was agreed that </w:t>
      </w:r>
      <w:r w:rsidR="005C4C91">
        <w:rPr>
          <w:lang w:val="en-US"/>
        </w:rPr>
        <w:t>FFT analysis</w:t>
      </w:r>
      <w:r>
        <w:rPr>
          <w:lang w:val="en-US"/>
        </w:rPr>
        <w:t xml:space="preserve"> </w:t>
      </w:r>
      <w:r w:rsidR="005C4C91">
        <w:rPr>
          <w:lang w:val="en-US"/>
        </w:rPr>
        <w:t>could</w:t>
      </w:r>
      <w:r>
        <w:rPr>
          <w:lang w:val="en-US"/>
        </w:rPr>
        <w:t xml:space="preserve"> be a regular item at future meetings</w:t>
      </w:r>
      <w:r w:rsidR="005C4C91">
        <w:rPr>
          <w:lang w:val="en-US"/>
        </w:rPr>
        <w:t>.</w:t>
      </w:r>
    </w:p>
    <w:p w:rsidR="00A97C34" w:rsidRPr="00904EE2" w:rsidRDefault="00A97C34" w:rsidP="00362091">
      <w:pPr>
        <w:spacing w:after="0"/>
        <w:jc w:val="both"/>
        <w:rPr>
          <w:highlight w:val="yellow"/>
        </w:rPr>
      </w:pPr>
    </w:p>
    <w:p w:rsidR="009709EE" w:rsidRPr="00FD11D7" w:rsidRDefault="00904EE2" w:rsidP="00362091">
      <w:pPr>
        <w:spacing w:after="0"/>
        <w:jc w:val="both"/>
        <w:rPr>
          <w:b/>
        </w:rPr>
      </w:pPr>
      <w:r w:rsidRPr="00FD11D7">
        <w:rPr>
          <w:b/>
        </w:rPr>
        <w:t>7</w:t>
      </w:r>
      <w:r w:rsidR="00792FC4" w:rsidRPr="00FD11D7">
        <w:rPr>
          <w:b/>
        </w:rPr>
        <w:t xml:space="preserve"> </w:t>
      </w:r>
      <w:r w:rsidRPr="00FD11D7">
        <w:rPr>
          <w:b/>
        </w:rPr>
        <w:t>Any other business</w:t>
      </w:r>
    </w:p>
    <w:p w:rsidR="004A5E21" w:rsidRPr="004A5E21" w:rsidRDefault="005C4C91" w:rsidP="00792FC4">
      <w:pPr>
        <w:spacing w:after="0"/>
        <w:jc w:val="both"/>
      </w:pPr>
      <w:r>
        <w:t>PW noted that he would appreciate it if the practice could investigate implementing some sort of “</w:t>
      </w:r>
      <w:proofErr w:type="spellStart"/>
      <w:r>
        <w:t>tannoy</w:t>
      </w:r>
      <w:proofErr w:type="spellEnd"/>
      <w:r>
        <w:t xml:space="preserve">” system to alert patients when they are being called in to see a doctor. PW noted that the current system is hard to hear - </w:t>
      </w:r>
      <w:r w:rsidRPr="005C4C91">
        <w:rPr>
          <w:b/>
        </w:rPr>
        <w:t>ACTION</w:t>
      </w:r>
    </w:p>
    <w:p w:rsidR="00FD11D7" w:rsidRPr="00FD11D7" w:rsidRDefault="00FD11D7" w:rsidP="00792FC4">
      <w:pPr>
        <w:spacing w:after="0"/>
        <w:jc w:val="both"/>
      </w:pPr>
    </w:p>
    <w:p w:rsidR="00792FC4" w:rsidRPr="00FD11D7" w:rsidRDefault="00792FC4" w:rsidP="00792FC4">
      <w:pPr>
        <w:spacing w:after="0"/>
        <w:jc w:val="both"/>
        <w:rPr>
          <w:b/>
        </w:rPr>
      </w:pPr>
      <w:r w:rsidRPr="00FD11D7">
        <w:rPr>
          <w:b/>
        </w:rPr>
        <w:t>Date of Next Meeting</w:t>
      </w:r>
    </w:p>
    <w:p w:rsidR="00FC6220" w:rsidRPr="00FD11D7" w:rsidRDefault="00F74877" w:rsidP="00FC6220">
      <w:pPr>
        <w:spacing w:after="0"/>
        <w:jc w:val="both"/>
        <w:rPr>
          <w:b/>
        </w:rPr>
      </w:pPr>
      <w:r>
        <w:rPr>
          <w:b/>
        </w:rPr>
        <w:t>To be confirmed</w:t>
      </w:r>
    </w:p>
    <w:p w:rsidR="007121B9" w:rsidRPr="006213F1" w:rsidRDefault="007121B9" w:rsidP="00FC6220">
      <w:pPr>
        <w:spacing w:after="0"/>
        <w:jc w:val="both"/>
        <w:rPr>
          <w:sz w:val="8"/>
          <w:szCs w:val="8"/>
          <w:highlight w:val="yellow"/>
        </w:rPr>
      </w:pPr>
    </w:p>
    <w:p w:rsidR="00D61361" w:rsidRPr="00AC4622" w:rsidRDefault="00D61361" w:rsidP="00FC6220">
      <w:pPr>
        <w:spacing w:after="0"/>
        <w:jc w:val="both"/>
      </w:pPr>
      <w:r w:rsidRPr="00AC4622">
        <w:rPr>
          <w:b/>
        </w:rPr>
        <w:t>Actions</w:t>
      </w:r>
    </w:p>
    <w:tbl>
      <w:tblPr>
        <w:tblStyle w:val="TableGrid"/>
        <w:tblW w:w="9883" w:type="dxa"/>
        <w:tblInd w:w="108" w:type="dxa"/>
        <w:tblLayout w:type="fixed"/>
        <w:tblLook w:val="04A0" w:firstRow="1" w:lastRow="0" w:firstColumn="1" w:lastColumn="0" w:noHBand="0" w:noVBand="1"/>
      </w:tblPr>
      <w:tblGrid>
        <w:gridCol w:w="1397"/>
        <w:gridCol w:w="2572"/>
        <w:gridCol w:w="754"/>
        <w:gridCol w:w="1278"/>
        <w:gridCol w:w="3066"/>
        <w:gridCol w:w="816"/>
      </w:tblGrid>
      <w:tr w:rsidR="00D61361" w:rsidRPr="00AC4622" w:rsidTr="00B71255">
        <w:tc>
          <w:tcPr>
            <w:tcW w:w="1397" w:type="dxa"/>
          </w:tcPr>
          <w:p w:rsidR="00D61361" w:rsidRPr="00AC4622" w:rsidRDefault="00D61361" w:rsidP="00D61361">
            <w:pPr>
              <w:jc w:val="both"/>
            </w:pPr>
            <w:r w:rsidRPr="00AC4622">
              <w:t>Ref</w:t>
            </w:r>
          </w:p>
        </w:tc>
        <w:tc>
          <w:tcPr>
            <w:tcW w:w="2572" w:type="dxa"/>
          </w:tcPr>
          <w:p w:rsidR="00D61361" w:rsidRPr="00AC4622" w:rsidRDefault="00D61361" w:rsidP="00D61361">
            <w:pPr>
              <w:jc w:val="both"/>
            </w:pPr>
            <w:r w:rsidRPr="00AC4622">
              <w:t>Action</w:t>
            </w:r>
          </w:p>
        </w:tc>
        <w:tc>
          <w:tcPr>
            <w:tcW w:w="754" w:type="dxa"/>
          </w:tcPr>
          <w:p w:rsidR="00D61361" w:rsidRPr="00AC4622" w:rsidRDefault="00D61361" w:rsidP="00D61361">
            <w:pPr>
              <w:jc w:val="center"/>
            </w:pPr>
            <w:r w:rsidRPr="00AC4622">
              <w:t>Lead</w:t>
            </w:r>
          </w:p>
        </w:tc>
        <w:tc>
          <w:tcPr>
            <w:tcW w:w="1278" w:type="dxa"/>
          </w:tcPr>
          <w:p w:rsidR="00D61361" w:rsidRPr="00AC4622" w:rsidRDefault="00D61361" w:rsidP="00D61361">
            <w:pPr>
              <w:jc w:val="center"/>
            </w:pPr>
            <w:r w:rsidRPr="00AC4622">
              <w:t>Date due</w:t>
            </w:r>
          </w:p>
        </w:tc>
        <w:tc>
          <w:tcPr>
            <w:tcW w:w="3066" w:type="dxa"/>
          </w:tcPr>
          <w:p w:rsidR="00D61361" w:rsidRPr="00AC4622" w:rsidRDefault="00D61361" w:rsidP="00B71255">
            <w:pPr>
              <w:jc w:val="center"/>
            </w:pPr>
            <w:r w:rsidRPr="00AC4622">
              <w:t>Comments</w:t>
            </w:r>
          </w:p>
        </w:tc>
        <w:tc>
          <w:tcPr>
            <w:tcW w:w="816" w:type="dxa"/>
          </w:tcPr>
          <w:p w:rsidR="00D61361" w:rsidRPr="00AC4622" w:rsidRDefault="00D61361" w:rsidP="00D61361">
            <w:pPr>
              <w:jc w:val="both"/>
            </w:pPr>
            <w:r w:rsidRPr="00AC4622">
              <w:t>Status</w:t>
            </w:r>
          </w:p>
        </w:tc>
      </w:tr>
      <w:tr w:rsidR="00D61361" w:rsidRPr="00AC4622" w:rsidTr="00B71255">
        <w:tc>
          <w:tcPr>
            <w:tcW w:w="1397" w:type="dxa"/>
          </w:tcPr>
          <w:p w:rsidR="00D61361" w:rsidRPr="00AC4622" w:rsidRDefault="00AC4622" w:rsidP="00D61361">
            <w:pPr>
              <w:jc w:val="both"/>
            </w:pPr>
            <w:r>
              <w:t>09062017</w:t>
            </w:r>
            <w:r w:rsidR="00D61361" w:rsidRPr="00AC4622">
              <w:t>-1</w:t>
            </w:r>
          </w:p>
        </w:tc>
        <w:tc>
          <w:tcPr>
            <w:tcW w:w="2572" w:type="dxa"/>
          </w:tcPr>
          <w:p w:rsidR="00D61361" w:rsidRPr="00AC4622" w:rsidRDefault="00AC4622" w:rsidP="00FE64B2">
            <w:pPr>
              <w:jc w:val="center"/>
            </w:pPr>
            <w:r>
              <w:t>Amend language in the Terms of Reference</w:t>
            </w:r>
          </w:p>
        </w:tc>
        <w:tc>
          <w:tcPr>
            <w:tcW w:w="754" w:type="dxa"/>
          </w:tcPr>
          <w:p w:rsidR="00D61361" w:rsidRPr="00AC4622" w:rsidRDefault="00D61361" w:rsidP="00B71255">
            <w:pPr>
              <w:jc w:val="center"/>
            </w:pPr>
            <w:r w:rsidRPr="00AC4622">
              <w:t>RM</w:t>
            </w:r>
            <w:r w:rsidR="00B71255">
              <w:t xml:space="preserve"> &amp; </w:t>
            </w:r>
            <w:r w:rsidR="00AC4622">
              <w:t>PW</w:t>
            </w:r>
          </w:p>
        </w:tc>
        <w:tc>
          <w:tcPr>
            <w:tcW w:w="1278" w:type="dxa"/>
          </w:tcPr>
          <w:p w:rsidR="00D61361" w:rsidRPr="00AC4622" w:rsidRDefault="00AC4622" w:rsidP="00D61361">
            <w:pPr>
              <w:jc w:val="center"/>
            </w:pPr>
            <w:r>
              <w:t>31/08/</w:t>
            </w:r>
            <w:r w:rsidR="00FE64B2">
              <w:t>20</w:t>
            </w:r>
            <w:r>
              <w:t>17</w:t>
            </w:r>
          </w:p>
        </w:tc>
        <w:tc>
          <w:tcPr>
            <w:tcW w:w="3066" w:type="dxa"/>
          </w:tcPr>
          <w:p w:rsidR="00D61361" w:rsidRPr="00AC4622" w:rsidRDefault="00AC4622" w:rsidP="00FE64B2">
            <w:pPr>
              <w:jc w:val="center"/>
            </w:pPr>
            <w:r>
              <w:t>Make the language more patient friendly</w:t>
            </w:r>
          </w:p>
        </w:tc>
        <w:tc>
          <w:tcPr>
            <w:tcW w:w="816" w:type="dxa"/>
          </w:tcPr>
          <w:p w:rsidR="00D61361" w:rsidRPr="00AC4622" w:rsidRDefault="00D61361" w:rsidP="00D87F72">
            <w:pPr>
              <w:jc w:val="center"/>
            </w:pPr>
            <w:r w:rsidRPr="00AC4622">
              <w:t>Open</w:t>
            </w:r>
          </w:p>
        </w:tc>
      </w:tr>
      <w:tr w:rsidR="00FE64B2" w:rsidRPr="00AC4622" w:rsidTr="00B71255">
        <w:tc>
          <w:tcPr>
            <w:tcW w:w="1397" w:type="dxa"/>
          </w:tcPr>
          <w:p w:rsidR="00FE64B2" w:rsidRDefault="00FE64B2" w:rsidP="00D61361">
            <w:pPr>
              <w:jc w:val="both"/>
            </w:pPr>
            <w:r>
              <w:t>09062017-4</w:t>
            </w:r>
          </w:p>
        </w:tc>
        <w:tc>
          <w:tcPr>
            <w:tcW w:w="2572" w:type="dxa"/>
          </w:tcPr>
          <w:p w:rsidR="00FE64B2" w:rsidRDefault="00FE64B2" w:rsidP="00FE64B2">
            <w:pPr>
              <w:jc w:val="center"/>
            </w:pPr>
            <w:r>
              <w:t>Feedback on new telephony system</w:t>
            </w:r>
          </w:p>
        </w:tc>
        <w:tc>
          <w:tcPr>
            <w:tcW w:w="754" w:type="dxa"/>
          </w:tcPr>
          <w:p w:rsidR="00FE64B2" w:rsidRDefault="00FE64B2" w:rsidP="00D61361">
            <w:pPr>
              <w:jc w:val="center"/>
            </w:pPr>
            <w:r>
              <w:t>RM</w:t>
            </w:r>
          </w:p>
        </w:tc>
        <w:tc>
          <w:tcPr>
            <w:tcW w:w="1278" w:type="dxa"/>
          </w:tcPr>
          <w:p w:rsidR="00FE64B2" w:rsidRDefault="00FE64B2" w:rsidP="00D61361">
            <w:pPr>
              <w:jc w:val="center"/>
            </w:pPr>
            <w:r>
              <w:t>08/09/2017</w:t>
            </w:r>
          </w:p>
        </w:tc>
        <w:tc>
          <w:tcPr>
            <w:tcW w:w="3066" w:type="dxa"/>
          </w:tcPr>
          <w:p w:rsidR="00FE64B2" w:rsidRDefault="00FE64B2" w:rsidP="00FE64B2">
            <w:pPr>
              <w:jc w:val="center"/>
            </w:pPr>
            <w:r>
              <w:t>Discuss at next meeting</w:t>
            </w:r>
          </w:p>
        </w:tc>
        <w:tc>
          <w:tcPr>
            <w:tcW w:w="816" w:type="dxa"/>
          </w:tcPr>
          <w:p w:rsidR="00FE64B2" w:rsidRDefault="00FE64B2" w:rsidP="00D87F72">
            <w:pPr>
              <w:jc w:val="center"/>
            </w:pPr>
            <w:r>
              <w:t>Open</w:t>
            </w:r>
          </w:p>
        </w:tc>
      </w:tr>
      <w:tr w:rsidR="007C35E1" w:rsidRPr="00AC4622" w:rsidTr="00B71255">
        <w:tc>
          <w:tcPr>
            <w:tcW w:w="1397" w:type="dxa"/>
          </w:tcPr>
          <w:p w:rsidR="007C35E1" w:rsidRDefault="005C4C91" w:rsidP="00D61361">
            <w:pPr>
              <w:jc w:val="both"/>
            </w:pPr>
            <w:r>
              <w:t>15092017-1</w:t>
            </w:r>
          </w:p>
        </w:tc>
        <w:tc>
          <w:tcPr>
            <w:tcW w:w="2572" w:type="dxa"/>
          </w:tcPr>
          <w:p w:rsidR="007C35E1" w:rsidRDefault="005C4C91" w:rsidP="00FE64B2">
            <w:pPr>
              <w:jc w:val="center"/>
            </w:pPr>
            <w:r>
              <w:t>Statement on vision for the future of the practice</w:t>
            </w:r>
          </w:p>
        </w:tc>
        <w:tc>
          <w:tcPr>
            <w:tcW w:w="754" w:type="dxa"/>
          </w:tcPr>
          <w:p w:rsidR="007C35E1" w:rsidRDefault="005C4C91" w:rsidP="00FE64B2">
            <w:pPr>
              <w:jc w:val="center"/>
            </w:pPr>
            <w:r>
              <w:t>RM</w:t>
            </w:r>
            <w:r w:rsidR="00B71255">
              <w:t xml:space="preserve"> &amp; </w:t>
            </w:r>
            <w:r>
              <w:t>GS</w:t>
            </w:r>
          </w:p>
        </w:tc>
        <w:tc>
          <w:tcPr>
            <w:tcW w:w="1278" w:type="dxa"/>
          </w:tcPr>
          <w:p w:rsidR="007C35E1" w:rsidRDefault="005C4C91" w:rsidP="00FE64B2">
            <w:pPr>
              <w:jc w:val="center"/>
            </w:pPr>
            <w:r>
              <w:t>30/11/2017</w:t>
            </w:r>
          </w:p>
        </w:tc>
        <w:tc>
          <w:tcPr>
            <w:tcW w:w="3066" w:type="dxa"/>
          </w:tcPr>
          <w:p w:rsidR="007C35E1" w:rsidRDefault="007C35E1" w:rsidP="00330A83">
            <w:pPr>
              <w:jc w:val="center"/>
            </w:pPr>
          </w:p>
        </w:tc>
        <w:tc>
          <w:tcPr>
            <w:tcW w:w="816" w:type="dxa"/>
          </w:tcPr>
          <w:p w:rsidR="007C35E1" w:rsidRDefault="005C4C91" w:rsidP="00FE64B2">
            <w:pPr>
              <w:jc w:val="center"/>
            </w:pPr>
            <w:r>
              <w:t>Open</w:t>
            </w:r>
          </w:p>
        </w:tc>
      </w:tr>
      <w:tr w:rsidR="007C35E1" w:rsidRPr="00AC4622" w:rsidTr="00B71255">
        <w:tc>
          <w:tcPr>
            <w:tcW w:w="1397" w:type="dxa"/>
          </w:tcPr>
          <w:p w:rsidR="007C35E1" w:rsidRDefault="005C4C91" w:rsidP="00D61361">
            <w:pPr>
              <w:jc w:val="both"/>
            </w:pPr>
            <w:r>
              <w:t>15092017-2</w:t>
            </w:r>
          </w:p>
        </w:tc>
        <w:tc>
          <w:tcPr>
            <w:tcW w:w="2572" w:type="dxa"/>
          </w:tcPr>
          <w:p w:rsidR="007C35E1" w:rsidRDefault="005C4C91" w:rsidP="005C4C91">
            <w:pPr>
              <w:jc w:val="center"/>
            </w:pPr>
            <w:r>
              <w:t xml:space="preserve">Consider options for a </w:t>
            </w:r>
            <w:proofErr w:type="spellStart"/>
            <w:r>
              <w:t>tannoy</w:t>
            </w:r>
            <w:proofErr w:type="spellEnd"/>
            <w:r>
              <w:t xml:space="preserve"> system</w:t>
            </w:r>
            <w:bookmarkStart w:id="0" w:name="_GoBack"/>
            <w:bookmarkEnd w:id="0"/>
          </w:p>
        </w:tc>
        <w:tc>
          <w:tcPr>
            <w:tcW w:w="754" w:type="dxa"/>
          </w:tcPr>
          <w:p w:rsidR="007C35E1" w:rsidRDefault="005C4C91" w:rsidP="00FE64B2">
            <w:pPr>
              <w:jc w:val="center"/>
            </w:pPr>
            <w:r>
              <w:t>RM</w:t>
            </w:r>
          </w:p>
        </w:tc>
        <w:tc>
          <w:tcPr>
            <w:tcW w:w="1278" w:type="dxa"/>
          </w:tcPr>
          <w:p w:rsidR="007C35E1" w:rsidRDefault="005C4C91" w:rsidP="00FE64B2">
            <w:pPr>
              <w:jc w:val="center"/>
            </w:pPr>
            <w:r>
              <w:t>30/11/2017</w:t>
            </w:r>
          </w:p>
        </w:tc>
        <w:tc>
          <w:tcPr>
            <w:tcW w:w="3066" w:type="dxa"/>
          </w:tcPr>
          <w:p w:rsidR="007C35E1" w:rsidRDefault="00B71255" w:rsidP="00B71255">
            <w:pPr>
              <w:jc w:val="center"/>
            </w:pPr>
            <w:r>
              <w:t>System to call patients in to see Doctors</w:t>
            </w:r>
          </w:p>
        </w:tc>
        <w:tc>
          <w:tcPr>
            <w:tcW w:w="816" w:type="dxa"/>
          </w:tcPr>
          <w:p w:rsidR="007C35E1" w:rsidRDefault="005C4C91" w:rsidP="00FE64B2">
            <w:pPr>
              <w:jc w:val="center"/>
            </w:pPr>
            <w:r>
              <w:t>Open</w:t>
            </w:r>
          </w:p>
        </w:tc>
      </w:tr>
    </w:tbl>
    <w:p w:rsidR="00CD7759" w:rsidRDefault="00CD7759" w:rsidP="00CD7759">
      <w:pPr>
        <w:spacing w:after="0"/>
        <w:jc w:val="both"/>
      </w:pPr>
    </w:p>
    <w:sectPr w:rsidR="00CD7759" w:rsidSect="00F3174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F5" w:rsidRDefault="00A111F5" w:rsidP="00362091">
      <w:pPr>
        <w:spacing w:after="0"/>
      </w:pPr>
      <w:r>
        <w:separator/>
      </w:r>
    </w:p>
  </w:endnote>
  <w:endnote w:type="continuationSeparator" w:id="0">
    <w:p w:rsidR="00A111F5" w:rsidRDefault="00A111F5" w:rsidP="00362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F5" w:rsidRPr="00362091" w:rsidRDefault="00A111F5" w:rsidP="00362091">
    <w:pPr>
      <w:tabs>
        <w:tab w:val="center" w:pos="4680"/>
        <w:tab w:val="right" w:pos="9360"/>
      </w:tabs>
      <w:spacing w:after="0"/>
      <w:jc w:val="center"/>
      <w:rPr>
        <w:rFonts w:ascii="Calibri" w:eastAsia="Times New Roman" w:hAnsi="Calibri" w:cs="Times New Roman"/>
        <w:sz w:val="24"/>
        <w:szCs w:val="24"/>
        <w:lang w:eastAsia="en-GB"/>
      </w:rPr>
    </w:pPr>
    <w:r w:rsidRPr="00362091">
      <w:rPr>
        <w:rFonts w:ascii="Calibri" w:eastAsia="Times New Roman" w:hAnsi="Calibri" w:cs="Times New Roman"/>
        <w:sz w:val="24"/>
        <w:szCs w:val="24"/>
        <w:lang w:eastAsia="en-GB"/>
      </w:rPr>
      <w:t>The 301 East Street Surgery, Walworth, London, SE17 2SX</w:t>
    </w:r>
  </w:p>
  <w:p w:rsidR="00A111F5" w:rsidRPr="00362091" w:rsidRDefault="00A111F5" w:rsidP="00362091">
    <w:pPr>
      <w:tabs>
        <w:tab w:val="center" w:pos="4680"/>
        <w:tab w:val="right" w:pos="9360"/>
      </w:tabs>
      <w:spacing w:after="0"/>
      <w:jc w:val="center"/>
      <w:rPr>
        <w:rFonts w:ascii="Calibri" w:eastAsia="Times New Roman" w:hAnsi="Calibri" w:cs="Times New Roman"/>
        <w:sz w:val="24"/>
        <w:szCs w:val="24"/>
        <w:lang w:eastAsia="en-GB"/>
      </w:rPr>
    </w:pPr>
    <w:r w:rsidRPr="00362091">
      <w:rPr>
        <w:rFonts w:ascii="Calibri" w:eastAsia="Times New Roman" w:hAnsi="Calibri" w:cs="Times New Roman"/>
        <w:sz w:val="24"/>
        <w:szCs w:val="24"/>
        <w:lang w:eastAsia="en-GB"/>
      </w:rPr>
      <w:t xml:space="preserve">Tel: 020 7703 </w:t>
    </w:r>
    <w:proofErr w:type="gramStart"/>
    <w:r w:rsidRPr="00362091">
      <w:rPr>
        <w:rFonts w:ascii="Calibri" w:eastAsia="Times New Roman" w:hAnsi="Calibri" w:cs="Times New Roman"/>
        <w:sz w:val="24"/>
        <w:szCs w:val="24"/>
        <w:lang w:eastAsia="en-GB"/>
      </w:rPr>
      <w:t>4550  Fax</w:t>
    </w:r>
    <w:proofErr w:type="gramEnd"/>
    <w:r w:rsidRPr="00362091">
      <w:rPr>
        <w:rFonts w:ascii="Calibri" w:eastAsia="Times New Roman" w:hAnsi="Calibri" w:cs="Times New Roman"/>
        <w:sz w:val="24"/>
        <w:szCs w:val="24"/>
        <w:lang w:eastAsia="en-GB"/>
      </w:rPr>
      <w:t xml:space="preserve">: 020 7703 1888  Email: </w:t>
    </w:r>
    <w:hyperlink r:id="rId1" w:history="1">
      <w:r w:rsidRPr="00362091">
        <w:rPr>
          <w:rFonts w:ascii="Calibri" w:eastAsia="Times New Roman" w:hAnsi="Calibri" w:cs="Times New Roman"/>
          <w:color w:val="0000FF"/>
          <w:sz w:val="24"/>
          <w:szCs w:val="24"/>
          <w:u w:val="single"/>
          <w:lang w:eastAsia="en-GB"/>
        </w:rPr>
        <w:t>souccg.301eaststreetsurgery@nhs.net</w:t>
      </w:r>
    </w:hyperlink>
  </w:p>
  <w:p w:rsidR="00A111F5" w:rsidRDefault="0069599D" w:rsidP="00362091">
    <w:pPr>
      <w:pStyle w:val="Footer"/>
      <w:jc w:val="center"/>
    </w:pPr>
    <w:hyperlink r:id="rId2" w:history="1">
      <w:r w:rsidR="00A111F5" w:rsidRPr="00362091">
        <w:rPr>
          <w:rFonts w:ascii="Calibri" w:eastAsia="Times New Roman" w:hAnsi="Calibri" w:cs="Times New Roman"/>
          <w:color w:val="0000FF"/>
          <w:sz w:val="24"/>
          <w:szCs w:val="24"/>
          <w:u w:val="single"/>
          <w:lang w:eastAsia="en-GB"/>
        </w:rPr>
        <w:t>www.301eaststreetsurgery.co.uk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F5" w:rsidRDefault="00A111F5" w:rsidP="00362091">
      <w:pPr>
        <w:spacing w:after="0"/>
      </w:pPr>
      <w:r>
        <w:separator/>
      </w:r>
    </w:p>
  </w:footnote>
  <w:footnote w:type="continuationSeparator" w:id="0">
    <w:p w:rsidR="00A111F5" w:rsidRDefault="00A111F5" w:rsidP="003620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62464"/>
      <w:docPartObj>
        <w:docPartGallery w:val="Page Numbers (Top of Page)"/>
        <w:docPartUnique/>
      </w:docPartObj>
    </w:sdtPr>
    <w:sdtEndPr>
      <w:rPr>
        <w:noProof/>
      </w:rPr>
    </w:sdtEndPr>
    <w:sdtContent>
      <w:p w:rsidR="00A111F5" w:rsidRDefault="00A111F5" w:rsidP="00FC6220">
        <w:pPr>
          <w:pStyle w:val="Header"/>
          <w:jc w:val="center"/>
        </w:pPr>
        <w:r>
          <w:t>301 East Street Surgery</w:t>
        </w:r>
        <w:r>
          <w:tab/>
        </w:r>
        <w:r>
          <w:tab/>
          <w:t xml:space="preserve">Page </w:t>
        </w:r>
        <w:r w:rsidR="002D3007">
          <w:fldChar w:fldCharType="begin"/>
        </w:r>
        <w:r w:rsidR="002D3007">
          <w:instrText xml:space="preserve"> PAGE   \* MERGEFORMAT </w:instrText>
        </w:r>
        <w:r w:rsidR="002D3007">
          <w:fldChar w:fldCharType="separate"/>
        </w:r>
        <w:r w:rsidR="0069599D">
          <w:rPr>
            <w:noProof/>
          </w:rPr>
          <w:t>2</w:t>
        </w:r>
        <w:r w:rsidR="002D3007">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B55"/>
    <w:multiLevelType w:val="hybridMultilevel"/>
    <w:tmpl w:val="80DE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108"/>
    <w:multiLevelType w:val="hybridMultilevel"/>
    <w:tmpl w:val="C4B84A1A"/>
    <w:lvl w:ilvl="0" w:tplc="57AA6AC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4D6E1D"/>
    <w:multiLevelType w:val="hybridMultilevel"/>
    <w:tmpl w:val="61186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396833"/>
    <w:multiLevelType w:val="hybridMultilevel"/>
    <w:tmpl w:val="3BAA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802B96"/>
    <w:multiLevelType w:val="hybridMultilevel"/>
    <w:tmpl w:val="C7B4C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D683415"/>
    <w:multiLevelType w:val="hybridMultilevel"/>
    <w:tmpl w:val="36441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B04B06"/>
    <w:multiLevelType w:val="hybridMultilevel"/>
    <w:tmpl w:val="11705A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373514E"/>
    <w:multiLevelType w:val="hybridMultilevel"/>
    <w:tmpl w:val="FD822A2A"/>
    <w:lvl w:ilvl="0" w:tplc="0B203B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4FE7F01"/>
    <w:multiLevelType w:val="hybridMultilevel"/>
    <w:tmpl w:val="187A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5"/>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EE"/>
    <w:rsid w:val="00017CCC"/>
    <w:rsid w:val="00032291"/>
    <w:rsid w:val="000650AB"/>
    <w:rsid w:val="00074E77"/>
    <w:rsid w:val="00086B77"/>
    <w:rsid w:val="000A2243"/>
    <w:rsid w:val="000B6BBC"/>
    <w:rsid w:val="000D7780"/>
    <w:rsid w:val="000E0206"/>
    <w:rsid w:val="00123AC1"/>
    <w:rsid w:val="001360CA"/>
    <w:rsid w:val="00136F38"/>
    <w:rsid w:val="00145D95"/>
    <w:rsid w:val="00146006"/>
    <w:rsid w:val="00162DD2"/>
    <w:rsid w:val="00180BBB"/>
    <w:rsid w:val="00186F03"/>
    <w:rsid w:val="00194969"/>
    <w:rsid w:val="001A1737"/>
    <w:rsid w:val="001C205B"/>
    <w:rsid w:val="001C2701"/>
    <w:rsid w:val="001F3124"/>
    <w:rsid w:val="001F7797"/>
    <w:rsid w:val="002012B6"/>
    <w:rsid w:val="00201D5E"/>
    <w:rsid w:val="002234DF"/>
    <w:rsid w:val="00224495"/>
    <w:rsid w:val="002327DB"/>
    <w:rsid w:val="002D01E7"/>
    <w:rsid w:val="002D3007"/>
    <w:rsid w:val="00362091"/>
    <w:rsid w:val="0037793D"/>
    <w:rsid w:val="00381251"/>
    <w:rsid w:val="0042310A"/>
    <w:rsid w:val="00435CD0"/>
    <w:rsid w:val="00437630"/>
    <w:rsid w:val="004409AA"/>
    <w:rsid w:val="004762ED"/>
    <w:rsid w:val="004A5E21"/>
    <w:rsid w:val="004B46EB"/>
    <w:rsid w:val="004F614A"/>
    <w:rsid w:val="00556322"/>
    <w:rsid w:val="00566CF7"/>
    <w:rsid w:val="00567221"/>
    <w:rsid w:val="00587403"/>
    <w:rsid w:val="005A5197"/>
    <w:rsid w:val="005A61AE"/>
    <w:rsid w:val="005C4C91"/>
    <w:rsid w:val="006213F1"/>
    <w:rsid w:val="00630428"/>
    <w:rsid w:val="006369C0"/>
    <w:rsid w:val="00672501"/>
    <w:rsid w:val="00690EC0"/>
    <w:rsid w:val="0069599D"/>
    <w:rsid w:val="006B3557"/>
    <w:rsid w:val="006D1161"/>
    <w:rsid w:val="006D4B7C"/>
    <w:rsid w:val="006F6E37"/>
    <w:rsid w:val="007121B9"/>
    <w:rsid w:val="00731385"/>
    <w:rsid w:val="00733D65"/>
    <w:rsid w:val="00766137"/>
    <w:rsid w:val="0078043A"/>
    <w:rsid w:val="00787563"/>
    <w:rsid w:val="007915C3"/>
    <w:rsid w:val="00792FC4"/>
    <w:rsid w:val="007A0CA5"/>
    <w:rsid w:val="007C35E1"/>
    <w:rsid w:val="007D5F2F"/>
    <w:rsid w:val="007E201F"/>
    <w:rsid w:val="0080000C"/>
    <w:rsid w:val="00806AF3"/>
    <w:rsid w:val="00815E55"/>
    <w:rsid w:val="00837CAB"/>
    <w:rsid w:val="00842158"/>
    <w:rsid w:val="0087578E"/>
    <w:rsid w:val="008D62AC"/>
    <w:rsid w:val="00904EE2"/>
    <w:rsid w:val="009128E9"/>
    <w:rsid w:val="009374CC"/>
    <w:rsid w:val="00944012"/>
    <w:rsid w:val="009709EE"/>
    <w:rsid w:val="00976D5E"/>
    <w:rsid w:val="00997B19"/>
    <w:rsid w:val="009F49DA"/>
    <w:rsid w:val="00A111F5"/>
    <w:rsid w:val="00A17511"/>
    <w:rsid w:val="00A64C05"/>
    <w:rsid w:val="00A7141B"/>
    <w:rsid w:val="00A97C34"/>
    <w:rsid w:val="00AC4622"/>
    <w:rsid w:val="00AF567E"/>
    <w:rsid w:val="00B20888"/>
    <w:rsid w:val="00B23C6C"/>
    <w:rsid w:val="00B31F68"/>
    <w:rsid w:val="00B47520"/>
    <w:rsid w:val="00B71255"/>
    <w:rsid w:val="00BA2DC4"/>
    <w:rsid w:val="00BA7958"/>
    <w:rsid w:val="00BC12F4"/>
    <w:rsid w:val="00BC51B2"/>
    <w:rsid w:val="00BD7117"/>
    <w:rsid w:val="00BF29BE"/>
    <w:rsid w:val="00C02907"/>
    <w:rsid w:val="00C21576"/>
    <w:rsid w:val="00C25263"/>
    <w:rsid w:val="00C43CD1"/>
    <w:rsid w:val="00C663E3"/>
    <w:rsid w:val="00C80A14"/>
    <w:rsid w:val="00C84299"/>
    <w:rsid w:val="00C927E8"/>
    <w:rsid w:val="00CA6CE3"/>
    <w:rsid w:val="00CB6B2D"/>
    <w:rsid w:val="00CD7759"/>
    <w:rsid w:val="00CE66CE"/>
    <w:rsid w:val="00D10396"/>
    <w:rsid w:val="00D35F28"/>
    <w:rsid w:val="00D37DD6"/>
    <w:rsid w:val="00D44717"/>
    <w:rsid w:val="00D61361"/>
    <w:rsid w:val="00D87F72"/>
    <w:rsid w:val="00DA3AB6"/>
    <w:rsid w:val="00DB7CAD"/>
    <w:rsid w:val="00DF6AE9"/>
    <w:rsid w:val="00E0508B"/>
    <w:rsid w:val="00E22AED"/>
    <w:rsid w:val="00E25163"/>
    <w:rsid w:val="00E95750"/>
    <w:rsid w:val="00EA0DB6"/>
    <w:rsid w:val="00ED7A25"/>
    <w:rsid w:val="00EE3E41"/>
    <w:rsid w:val="00F20BA3"/>
    <w:rsid w:val="00F258A9"/>
    <w:rsid w:val="00F31748"/>
    <w:rsid w:val="00F37A95"/>
    <w:rsid w:val="00F43339"/>
    <w:rsid w:val="00F438C1"/>
    <w:rsid w:val="00F55ADA"/>
    <w:rsid w:val="00F627EC"/>
    <w:rsid w:val="00F67CFF"/>
    <w:rsid w:val="00F74877"/>
    <w:rsid w:val="00F81D24"/>
    <w:rsid w:val="00F86B02"/>
    <w:rsid w:val="00F91BD5"/>
    <w:rsid w:val="00FC0158"/>
    <w:rsid w:val="00FC57A6"/>
    <w:rsid w:val="00FC6220"/>
    <w:rsid w:val="00FD11D7"/>
    <w:rsid w:val="00FE6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65"/>
    <w:pPr>
      <w:ind w:left="720"/>
      <w:contextualSpacing/>
    </w:pPr>
  </w:style>
  <w:style w:type="paragraph" w:styleId="Header">
    <w:name w:val="header"/>
    <w:basedOn w:val="Normal"/>
    <w:link w:val="HeaderChar"/>
    <w:uiPriority w:val="99"/>
    <w:unhideWhenUsed/>
    <w:rsid w:val="00362091"/>
    <w:pPr>
      <w:tabs>
        <w:tab w:val="center" w:pos="4513"/>
        <w:tab w:val="right" w:pos="9026"/>
      </w:tabs>
      <w:spacing w:after="0"/>
    </w:pPr>
  </w:style>
  <w:style w:type="character" w:customStyle="1" w:styleId="HeaderChar">
    <w:name w:val="Header Char"/>
    <w:basedOn w:val="DefaultParagraphFont"/>
    <w:link w:val="Header"/>
    <w:uiPriority w:val="99"/>
    <w:rsid w:val="00362091"/>
  </w:style>
  <w:style w:type="paragraph" w:styleId="Footer">
    <w:name w:val="footer"/>
    <w:basedOn w:val="Normal"/>
    <w:link w:val="FooterChar"/>
    <w:uiPriority w:val="99"/>
    <w:unhideWhenUsed/>
    <w:rsid w:val="00362091"/>
    <w:pPr>
      <w:tabs>
        <w:tab w:val="center" w:pos="4513"/>
        <w:tab w:val="right" w:pos="9026"/>
      </w:tabs>
      <w:spacing w:after="0"/>
    </w:pPr>
  </w:style>
  <w:style w:type="character" w:customStyle="1" w:styleId="FooterChar">
    <w:name w:val="Footer Char"/>
    <w:basedOn w:val="DefaultParagraphFont"/>
    <w:link w:val="Footer"/>
    <w:uiPriority w:val="99"/>
    <w:rsid w:val="00362091"/>
  </w:style>
  <w:style w:type="table" w:styleId="TableGrid">
    <w:name w:val="Table Grid"/>
    <w:basedOn w:val="TableNormal"/>
    <w:uiPriority w:val="59"/>
    <w:rsid w:val="00D613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F72"/>
    <w:rPr>
      <w:color w:val="0000FF" w:themeColor="hyperlink"/>
      <w:u w:val="single"/>
    </w:rPr>
  </w:style>
  <w:style w:type="paragraph" w:styleId="BalloonText">
    <w:name w:val="Balloon Text"/>
    <w:basedOn w:val="Normal"/>
    <w:link w:val="BalloonTextChar"/>
    <w:uiPriority w:val="99"/>
    <w:semiHidden/>
    <w:unhideWhenUsed/>
    <w:rsid w:val="002244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65"/>
    <w:pPr>
      <w:ind w:left="720"/>
      <w:contextualSpacing/>
    </w:pPr>
  </w:style>
  <w:style w:type="paragraph" w:styleId="Header">
    <w:name w:val="header"/>
    <w:basedOn w:val="Normal"/>
    <w:link w:val="HeaderChar"/>
    <w:uiPriority w:val="99"/>
    <w:unhideWhenUsed/>
    <w:rsid w:val="00362091"/>
    <w:pPr>
      <w:tabs>
        <w:tab w:val="center" w:pos="4513"/>
        <w:tab w:val="right" w:pos="9026"/>
      </w:tabs>
      <w:spacing w:after="0"/>
    </w:pPr>
  </w:style>
  <w:style w:type="character" w:customStyle="1" w:styleId="HeaderChar">
    <w:name w:val="Header Char"/>
    <w:basedOn w:val="DefaultParagraphFont"/>
    <w:link w:val="Header"/>
    <w:uiPriority w:val="99"/>
    <w:rsid w:val="00362091"/>
  </w:style>
  <w:style w:type="paragraph" w:styleId="Footer">
    <w:name w:val="footer"/>
    <w:basedOn w:val="Normal"/>
    <w:link w:val="FooterChar"/>
    <w:uiPriority w:val="99"/>
    <w:unhideWhenUsed/>
    <w:rsid w:val="00362091"/>
    <w:pPr>
      <w:tabs>
        <w:tab w:val="center" w:pos="4513"/>
        <w:tab w:val="right" w:pos="9026"/>
      </w:tabs>
      <w:spacing w:after="0"/>
    </w:pPr>
  </w:style>
  <w:style w:type="character" w:customStyle="1" w:styleId="FooterChar">
    <w:name w:val="Footer Char"/>
    <w:basedOn w:val="DefaultParagraphFont"/>
    <w:link w:val="Footer"/>
    <w:uiPriority w:val="99"/>
    <w:rsid w:val="00362091"/>
  </w:style>
  <w:style w:type="table" w:styleId="TableGrid">
    <w:name w:val="Table Grid"/>
    <w:basedOn w:val="TableNormal"/>
    <w:uiPriority w:val="59"/>
    <w:rsid w:val="00D613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7F72"/>
    <w:rPr>
      <w:color w:val="0000FF" w:themeColor="hyperlink"/>
      <w:u w:val="single"/>
    </w:rPr>
  </w:style>
  <w:style w:type="paragraph" w:styleId="BalloonText">
    <w:name w:val="Balloon Text"/>
    <w:basedOn w:val="Normal"/>
    <w:link w:val="BalloonTextChar"/>
    <w:uiPriority w:val="99"/>
    <w:semiHidden/>
    <w:unhideWhenUsed/>
    <w:rsid w:val="002244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4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7981">
      <w:bodyDiv w:val="1"/>
      <w:marLeft w:val="0"/>
      <w:marRight w:val="0"/>
      <w:marTop w:val="0"/>
      <w:marBottom w:val="0"/>
      <w:divBdr>
        <w:top w:val="none" w:sz="0" w:space="0" w:color="auto"/>
        <w:left w:val="none" w:sz="0" w:space="0" w:color="auto"/>
        <w:bottom w:val="none" w:sz="0" w:space="0" w:color="auto"/>
        <w:right w:val="none" w:sz="0" w:space="0" w:color="auto"/>
      </w:divBdr>
    </w:div>
    <w:div w:id="4402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kctg.nihr.ac.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301eaststreetsurgery.co.uk" TargetMode="External"/><Relationship Id="rId1" Type="http://schemas.openxmlformats.org/officeDocument/2006/relationships/hyperlink" Target="mailto:souccg.301eaststreet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95EF2-23B1-407A-8E68-2019D8AB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 Licensing</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castello</dc:creator>
  <cp:lastModifiedBy>Rene Mehta</cp:lastModifiedBy>
  <cp:revision>15</cp:revision>
  <cp:lastPrinted>2017-09-15T11:33:00Z</cp:lastPrinted>
  <dcterms:created xsi:type="dcterms:W3CDTF">2017-06-12T12:46:00Z</dcterms:created>
  <dcterms:modified xsi:type="dcterms:W3CDTF">2018-02-19T13:22:00Z</dcterms:modified>
</cp:coreProperties>
</file>